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FE1FF" w14:textId="740DF8E2" w:rsidR="0007443B" w:rsidRPr="00636D08" w:rsidRDefault="00636D08" w:rsidP="00636D08">
      <w:pPr>
        <w:pStyle w:val="Heading2"/>
        <w:jc w:val="center"/>
        <w:rPr>
          <w:rFonts w:ascii="Times New Roman" w:hAnsi="Times New Roman" w:cs="Times New Roman"/>
          <w:b/>
          <w:bCs/>
          <w:noProof/>
          <w:color w:val="auto"/>
          <w:sz w:val="28"/>
          <w:szCs w:val="28"/>
          <w:lang w:eastAsia="pt-PT"/>
        </w:rPr>
      </w:pPr>
      <w:r w:rsidRPr="00636D08">
        <w:rPr>
          <w:rFonts w:ascii="Times New Roman" w:hAnsi="Times New Roman" w:cs="Times New Roman"/>
          <w:b/>
          <w:bCs/>
          <w:noProof/>
          <w:color w:val="auto"/>
          <w:sz w:val="28"/>
          <w:szCs w:val="28"/>
          <w:lang w:eastAsia="pt-PT"/>
        </w:rPr>
        <w:t>Modelling, Data Analytics and AI in Engineering</w:t>
      </w:r>
    </w:p>
    <w:p w14:paraId="4D76327E" w14:textId="359683B0" w:rsidR="005911EB" w:rsidRPr="00636D08" w:rsidRDefault="005911EB" w:rsidP="005911EB">
      <w:pPr>
        <w:jc w:val="center"/>
        <w:rPr>
          <w:rFonts w:asciiTheme="majorBidi" w:hAnsiTheme="majorBidi" w:cstheme="majorBidi"/>
          <w:b/>
          <w:bCs/>
          <w:noProof/>
          <w:sz w:val="22"/>
          <w:vertAlign w:val="superscript"/>
          <w:lang w:eastAsia="pt-PT"/>
        </w:rPr>
      </w:pPr>
      <w:r w:rsidRPr="00636D08">
        <w:rPr>
          <w:rFonts w:asciiTheme="majorBidi" w:hAnsiTheme="majorBidi" w:cstheme="majorBidi"/>
          <w:b/>
          <w:bCs/>
          <w:noProof/>
          <w:sz w:val="22"/>
          <w:lang w:eastAsia="pt-PT"/>
        </w:rPr>
        <w:t>AB</w:t>
      </w:r>
      <w:r w:rsidR="003A6860" w:rsidRPr="00636D08">
        <w:rPr>
          <w:rFonts w:asciiTheme="majorBidi" w:hAnsiTheme="majorBidi" w:cstheme="majorBidi"/>
          <w:b/>
          <w:bCs/>
          <w:noProof/>
          <w:sz w:val="22"/>
          <w:lang w:eastAsia="pt-PT"/>
        </w:rPr>
        <w:t xml:space="preserve"> </w:t>
      </w:r>
      <w:r w:rsidRPr="00636D08">
        <w:rPr>
          <w:rFonts w:asciiTheme="majorBidi" w:hAnsiTheme="majorBidi" w:cstheme="majorBidi"/>
          <w:b/>
          <w:bCs/>
          <w:noProof/>
          <w:sz w:val="22"/>
          <w:lang w:eastAsia="pt-PT"/>
        </w:rPr>
        <w:t>CD</w:t>
      </w:r>
      <w:r w:rsidR="003A6860" w:rsidRPr="00636D08">
        <w:rPr>
          <w:rFonts w:asciiTheme="majorBidi" w:hAnsiTheme="majorBidi" w:cstheme="majorBidi"/>
          <w:b/>
          <w:bCs/>
          <w:noProof/>
          <w:sz w:val="22"/>
          <w:vertAlign w:val="superscript"/>
          <w:lang w:eastAsia="pt-PT"/>
        </w:rPr>
        <w:t xml:space="preserve"> 1</w:t>
      </w:r>
      <w:r w:rsidR="00F96B5B" w:rsidRPr="00636D08">
        <w:rPr>
          <w:rFonts w:asciiTheme="majorBidi" w:hAnsiTheme="majorBidi" w:cstheme="majorBidi"/>
          <w:b/>
          <w:bCs/>
          <w:noProof/>
          <w:sz w:val="22"/>
          <w:vertAlign w:val="superscript"/>
          <w:lang w:eastAsia="pt-PT"/>
        </w:rPr>
        <w:t>,</w:t>
      </w:r>
      <w:r w:rsidR="00636D08">
        <w:rPr>
          <w:rFonts w:asciiTheme="majorBidi" w:hAnsiTheme="majorBidi" w:cstheme="majorBidi"/>
          <w:b/>
          <w:bCs/>
          <w:noProof/>
          <w:sz w:val="22"/>
          <w:vertAlign w:val="superscript"/>
          <w:lang w:eastAsia="pt-PT"/>
        </w:rPr>
        <w:t xml:space="preserve"> </w:t>
      </w:r>
      <w:r w:rsidR="00F96B5B" w:rsidRPr="00636D08">
        <w:rPr>
          <w:rStyle w:val="FootnoteReference"/>
          <w:rFonts w:asciiTheme="majorBidi" w:hAnsiTheme="majorBidi" w:cstheme="majorBidi"/>
          <w:b/>
          <w:bCs/>
          <w:noProof/>
          <w:sz w:val="22"/>
          <w:lang w:eastAsia="pt-PT"/>
        </w:rPr>
        <w:footnoteReference w:id="1"/>
      </w:r>
      <w:r w:rsidRPr="00636D08">
        <w:rPr>
          <w:rFonts w:asciiTheme="majorBidi" w:hAnsiTheme="majorBidi" w:cstheme="majorBidi"/>
          <w:b/>
          <w:bCs/>
          <w:noProof/>
          <w:sz w:val="22"/>
          <w:lang w:eastAsia="pt-PT"/>
        </w:rPr>
        <w:t>,</w:t>
      </w:r>
      <w:r w:rsidRPr="00636D08">
        <w:rPr>
          <w:rFonts w:asciiTheme="majorBidi" w:hAnsiTheme="majorBidi" w:cstheme="majorBidi"/>
          <w:b/>
          <w:bCs/>
          <w:noProof/>
          <w:sz w:val="22"/>
          <w:vertAlign w:val="superscript"/>
          <w:lang w:eastAsia="pt-PT"/>
        </w:rPr>
        <w:t xml:space="preserve"> </w:t>
      </w:r>
      <w:r w:rsidRPr="00636D08">
        <w:rPr>
          <w:rFonts w:asciiTheme="majorBidi" w:hAnsiTheme="majorBidi" w:cstheme="majorBidi"/>
          <w:b/>
          <w:bCs/>
          <w:noProof/>
          <w:sz w:val="22"/>
          <w:lang w:eastAsia="pt-PT"/>
        </w:rPr>
        <w:t>EF GH</w:t>
      </w:r>
      <w:r w:rsidRPr="00636D08">
        <w:rPr>
          <w:rFonts w:asciiTheme="majorBidi" w:hAnsiTheme="majorBidi" w:cstheme="majorBidi"/>
          <w:b/>
          <w:bCs/>
          <w:noProof/>
          <w:sz w:val="22"/>
          <w:vertAlign w:val="superscript"/>
          <w:lang w:eastAsia="pt-PT"/>
        </w:rPr>
        <w:t xml:space="preserve"> 2</w:t>
      </w:r>
    </w:p>
    <w:p w14:paraId="1CE7AC32" w14:textId="479EBF48" w:rsidR="00F96B5B" w:rsidRPr="00636D08" w:rsidRDefault="003A6860" w:rsidP="00F96B5B">
      <w:pPr>
        <w:tabs>
          <w:tab w:val="left" w:pos="564"/>
          <w:tab w:val="center" w:pos="4252"/>
        </w:tabs>
        <w:rPr>
          <w:rFonts w:asciiTheme="majorBidi" w:hAnsiTheme="majorBidi" w:cstheme="majorBidi"/>
          <w:noProof/>
          <w:sz w:val="22"/>
          <w:lang w:eastAsia="pt-PT"/>
        </w:rPr>
      </w:pPr>
      <w:r w:rsidRPr="00636D08">
        <w:rPr>
          <w:rFonts w:asciiTheme="majorBidi" w:hAnsiTheme="majorBidi" w:cstheme="majorBidi"/>
          <w:noProof/>
          <w:sz w:val="22"/>
          <w:vertAlign w:val="superscript"/>
          <w:lang w:eastAsia="pt-PT"/>
        </w:rPr>
        <w:tab/>
      </w:r>
      <w:r w:rsidRPr="00636D08">
        <w:rPr>
          <w:rFonts w:asciiTheme="majorBidi" w:hAnsiTheme="majorBidi" w:cstheme="majorBidi"/>
          <w:noProof/>
          <w:sz w:val="22"/>
          <w:vertAlign w:val="superscript"/>
          <w:lang w:eastAsia="pt-PT"/>
        </w:rPr>
        <w:tab/>
        <w:t>1</w:t>
      </w:r>
      <w:r w:rsidRPr="00636D08">
        <w:rPr>
          <w:rFonts w:asciiTheme="majorBidi" w:hAnsiTheme="majorBidi" w:cstheme="majorBidi"/>
          <w:noProof/>
          <w:sz w:val="22"/>
          <w:lang w:eastAsia="pt-PT"/>
        </w:rPr>
        <w:t xml:space="preserve"> </w:t>
      </w:r>
      <w:r w:rsidR="005911EB" w:rsidRPr="00636D08">
        <w:rPr>
          <w:rFonts w:asciiTheme="majorBidi" w:hAnsiTheme="majorBidi" w:cstheme="majorBidi"/>
          <w:noProof/>
          <w:sz w:val="22"/>
          <w:lang w:eastAsia="pt-PT"/>
        </w:rPr>
        <w:t>A</w:t>
      </w:r>
      <w:r w:rsidRPr="00636D08">
        <w:rPr>
          <w:rFonts w:asciiTheme="majorBidi" w:hAnsiTheme="majorBidi" w:cstheme="majorBidi"/>
          <w:noProof/>
          <w:sz w:val="22"/>
          <w:lang w:eastAsia="pt-PT"/>
        </w:rPr>
        <w:t xml:space="preserve"> University</w:t>
      </w:r>
      <w:r w:rsidR="00F96B5B" w:rsidRPr="00636D08">
        <w:rPr>
          <w:rFonts w:asciiTheme="majorBidi" w:hAnsiTheme="majorBidi" w:cstheme="majorBidi"/>
          <w:noProof/>
          <w:sz w:val="22"/>
          <w:lang w:eastAsia="pt-PT"/>
        </w:rPr>
        <w:t>, E-mail: ab@cd</w:t>
      </w:r>
    </w:p>
    <w:p w14:paraId="39803C2F" w14:textId="51A665DD" w:rsidR="005911EB" w:rsidRPr="00636D08" w:rsidRDefault="005911EB" w:rsidP="005911EB">
      <w:pPr>
        <w:tabs>
          <w:tab w:val="left" w:pos="564"/>
          <w:tab w:val="center" w:pos="4252"/>
        </w:tabs>
        <w:rPr>
          <w:rFonts w:asciiTheme="majorBidi" w:hAnsiTheme="majorBidi" w:cstheme="majorBidi"/>
          <w:noProof/>
          <w:sz w:val="22"/>
          <w:lang w:eastAsia="pt-PT"/>
        </w:rPr>
      </w:pPr>
      <w:r w:rsidRPr="00636D08">
        <w:rPr>
          <w:rFonts w:asciiTheme="majorBidi" w:hAnsiTheme="majorBidi" w:cstheme="majorBidi"/>
          <w:noProof/>
          <w:sz w:val="22"/>
          <w:vertAlign w:val="superscript"/>
          <w:lang w:eastAsia="pt-PT"/>
        </w:rPr>
        <w:tab/>
      </w:r>
      <w:r w:rsidRPr="00636D08">
        <w:rPr>
          <w:rFonts w:asciiTheme="majorBidi" w:hAnsiTheme="majorBidi" w:cstheme="majorBidi"/>
          <w:noProof/>
          <w:sz w:val="22"/>
          <w:vertAlign w:val="superscript"/>
          <w:lang w:eastAsia="pt-PT"/>
        </w:rPr>
        <w:tab/>
        <w:t>2</w:t>
      </w:r>
      <w:r w:rsidRPr="00636D08">
        <w:rPr>
          <w:rFonts w:asciiTheme="majorBidi" w:hAnsiTheme="majorBidi" w:cstheme="majorBidi"/>
          <w:noProof/>
          <w:sz w:val="22"/>
          <w:lang w:eastAsia="pt-PT"/>
        </w:rPr>
        <w:t xml:space="preserve"> B University</w:t>
      </w:r>
      <w:r w:rsidR="00F96B5B" w:rsidRPr="00636D08">
        <w:rPr>
          <w:rFonts w:asciiTheme="majorBidi" w:hAnsiTheme="majorBidi" w:cstheme="majorBidi"/>
          <w:noProof/>
          <w:sz w:val="22"/>
          <w:lang w:eastAsia="pt-PT"/>
        </w:rPr>
        <w:t>, E-mail: ef@gh</w:t>
      </w:r>
    </w:p>
    <w:p w14:paraId="0CCDD1D1" w14:textId="77777777" w:rsidR="003A6860" w:rsidRPr="00636D08" w:rsidRDefault="003A6860" w:rsidP="003A6860">
      <w:pPr>
        <w:tabs>
          <w:tab w:val="left" w:pos="564"/>
          <w:tab w:val="center" w:pos="4252"/>
        </w:tabs>
        <w:rPr>
          <w:rFonts w:asciiTheme="majorBidi" w:hAnsiTheme="majorBidi" w:cstheme="majorBidi"/>
          <w:noProof/>
          <w:sz w:val="22"/>
          <w:lang w:eastAsia="pt-PT"/>
        </w:rPr>
      </w:pPr>
    </w:p>
    <w:p w14:paraId="0B87A6C2"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represent transformative technologies that drive industrial applications across numerous sectors, including aerospace, construction, energy, transportation, manufacturing, and materials. They are reshaping problem-solving methodologies, tackling complex challenges such as designing autonomous vehicles, discovering new pharmaceuticals, and developing robust infrastructures. These technologies serve as fundamental pillars for propelling the next industrial revolution, aligning with global initiatives such as IoT, Industry 4.0, and Digital Twinning.</w:t>
      </w:r>
    </w:p>
    <w:p w14:paraId="6E15257C"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p>
    <w:p w14:paraId="3C4BEB0D"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r w:rsidRPr="00636D08">
        <w:rPr>
          <w:rFonts w:ascii="Times New Roman" w:hAnsi="Times New Roman" w:cs="Times New Roman"/>
          <w:kern w:val="0"/>
          <w:sz w:val="22"/>
          <w:lang w:eastAsia="en-US"/>
        </w:rPr>
        <w:t>The intersections of modelling, data analytics, and AI are deeply rooted in their mathematical and computational frameworks. Regrettably, they are presently studied in isolated silos within engineering and science programs, lacking extensive interdisciplinary collaboration. To maximize their potential as breakthrough, transformative technologies and solutions at the engineering forefront, integration using a holistic systems approach is imperative.</w:t>
      </w:r>
    </w:p>
    <w:p w14:paraId="478525DE"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p>
    <w:p w14:paraId="5A0A8ED0"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r w:rsidRPr="00636D08">
        <w:rPr>
          <w:rFonts w:ascii="Times New Roman" w:hAnsi="Times New Roman" w:cs="Times New Roman"/>
          <w:kern w:val="0"/>
          <w:sz w:val="22"/>
          <w:lang w:eastAsia="en-US"/>
        </w:rPr>
        <w:t>The MadeAI conference endeavors to serve as a platform for accomplished researchers and industry leaders to exchange ideas and unearth new opportunities, thereby fostering research and innovation in the realms of modelling, data analytics, and AI within engineering’s forefront. The conference themes encompass, but are not limited to:</w:t>
      </w:r>
    </w:p>
    <w:p w14:paraId="6215A13F" w14:textId="77777777" w:rsidR="00636D08" w:rsidRPr="00636D08" w:rsidRDefault="00636D08" w:rsidP="00636D08">
      <w:pPr>
        <w:widowControl/>
        <w:autoSpaceDE w:val="0"/>
        <w:autoSpaceDN w:val="0"/>
        <w:adjustRightInd w:val="0"/>
        <w:ind w:firstLine="709"/>
        <w:rPr>
          <w:rFonts w:ascii="Times New Roman" w:hAnsi="Times New Roman" w:cs="Times New Roman"/>
          <w:kern w:val="0"/>
          <w:sz w:val="22"/>
          <w:lang w:eastAsia="en-US"/>
        </w:rPr>
      </w:pPr>
    </w:p>
    <w:p w14:paraId="72D7C600"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Foundation and methods underpinning modelling, data analytics and AI</w:t>
      </w:r>
    </w:p>
    <w:p w14:paraId="5AD3DF37"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aerospace engineering</w:t>
      </w:r>
    </w:p>
    <w:p w14:paraId="0D272C82"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chemical engineering</w:t>
      </w:r>
    </w:p>
    <w:p w14:paraId="32E31D71"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civil engineering and construction</w:t>
      </w:r>
    </w:p>
    <w:p w14:paraId="4DED43F4"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geotechnical engineering</w:t>
      </w:r>
    </w:p>
    <w:p w14:paraId="2254C18F"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manufacturing and materials</w:t>
      </w:r>
    </w:p>
    <w:p w14:paraId="28923D3A"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mechanical engineering</w:t>
      </w:r>
    </w:p>
    <w:p w14:paraId="0D43AF58"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power and energy</w:t>
      </w:r>
    </w:p>
    <w:p w14:paraId="78AA6B34" w14:textId="77777777" w:rsidR="00636D08" w:rsidRPr="00636D08" w:rsidRDefault="00636D08" w:rsidP="00636D08">
      <w:pPr>
        <w:pStyle w:val="ListParagraph"/>
        <w:widowControl/>
        <w:numPr>
          <w:ilvl w:val="0"/>
          <w:numId w:val="1"/>
        </w:numPr>
        <w:autoSpaceDE w:val="0"/>
        <w:autoSpaceDN w:val="0"/>
        <w:adjustRightInd w:val="0"/>
        <w:rPr>
          <w:rFonts w:ascii="Times New Roman" w:hAnsi="Times New Roman" w:cs="Times New Roman"/>
          <w:kern w:val="0"/>
          <w:sz w:val="22"/>
          <w:lang w:eastAsia="en-US"/>
        </w:rPr>
      </w:pPr>
      <w:r w:rsidRPr="00636D08">
        <w:rPr>
          <w:rFonts w:ascii="Times New Roman" w:hAnsi="Times New Roman" w:cs="Times New Roman"/>
          <w:kern w:val="0"/>
          <w:sz w:val="22"/>
          <w:lang w:eastAsia="en-US"/>
        </w:rPr>
        <w:t>Modelling, data analytics and AI for transport</w:t>
      </w:r>
    </w:p>
    <w:p w14:paraId="2A5877E1" w14:textId="1B4A0B08" w:rsidR="005911EB" w:rsidRPr="00636D08" w:rsidRDefault="00636D08" w:rsidP="00636D08">
      <w:pPr>
        <w:pStyle w:val="ListParagraph"/>
        <w:widowControl/>
        <w:numPr>
          <w:ilvl w:val="0"/>
          <w:numId w:val="1"/>
        </w:numPr>
        <w:autoSpaceDE w:val="0"/>
        <w:autoSpaceDN w:val="0"/>
        <w:adjustRightInd w:val="0"/>
        <w:rPr>
          <w:rFonts w:ascii="Times New Roman" w:hAnsi="Times New Roman" w:cs="Times New Roman"/>
          <w:sz w:val="22"/>
          <w:lang w:eastAsia="en-US"/>
        </w:rPr>
      </w:pPr>
      <w:r w:rsidRPr="00636D08">
        <w:rPr>
          <w:rFonts w:ascii="Times New Roman" w:hAnsi="Times New Roman" w:cs="Times New Roman"/>
          <w:kern w:val="0"/>
          <w:sz w:val="22"/>
          <w:lang w:eastAsia="en-US"/>
        </w:rPr>
        <w:t>Other relevant topics</w:t>
      </w:r>
    </w:p>
    <w:p w14:paraId="74CD92C8" w14:textId="15FFCE25" w:rsidR="00FD15A4" w:rsidRDefault="00FD15A4" w:rsidP="005911EB">
      <w:pPr>
        <w:rPr>
          <w:rFonts w:ascii="Times New Roman" w:hAnsi="Times New Roman" w:cs="Times New Roman"/>
          <w:sz w:val="22"/>
          <w:lang w:eastAsia="en-US"/>
        </w:rPr>
      </w:pPr>
    </w:p>
    <w:p w14:paraId="58346A65" w14:textId="77777777" w:rsidR="00AB5CF8" w:rsidRDefault="00AB5CF8" w:rsidP="005911EB">
      <w:pPr>
        <w:rPr>
          <w:rFonts w:ascii="Times New Roman" w:hAnsi="Times New Roman" w:cs="Times New Roman"/>
          <w:sz w:val="22"/>
          <w:lang w:eastAsia="en-US"/>
        </w:rPr>
      </w:pPr>
    </w:p>
    <w:p w14:paraId="24D7FC2F" w14:textId="4634AE58" w:rsidR="00AB5CF8" w:rsidRPr="00636D08" w:rsidRDefault="00AB5CF8" w:rsidP="005911EB">
      <w:pPr>
        <w:rPr>
          <w:rFonts w:ascii="Times New Roman" w:hAnsi="Times New Roman" w:cs="Times New Roman"/>
          <w:sz w:val="22"/>
          <w:lang w:eastAsia="en-US"/>
        </w:rPr>
      </w:pPr>
      <w:r>
        <w:rPr>
          <w:rFonts w:ascii="Times New Roman" w:hAnsi="Times New Roman" w:cs="Times New Roman"/>
          <w:sz w:val="22"/>
          <w:lang w:eastAsia="en-US"/>
        </w:rPr>
        <w:t xml:space="preserve">Keywords: </w:t>
      </w:r>
    </w:p>
    <w:sectPr w:rsidR="00AB5CF8" w:rsidRPr="00636D08" w:rsidSect="00314470">
      <w:headerReference w:type="default" r:id="rId8"/>
      <w:footerReference w:type="default" r:id="rId9"/>
      <w:footnotePr>
        <w:numFmt w:val="lowerLetter"/>
      </w:footnotePr>
      <w:pgSz w:w="11906" w:h="16838"/>
      <w:pgMar w:top="1440" w:right="1800" w:bottom="1440" w:left="1800" w:header="68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7982" w14:textId="77777777" w:rsidR="00852E2C" w:rsidRDefault="00852E2C" w:rsidP="003A6860">
      <w:r>
        <w:separator/>
      </w:r>
    </w:p>
  </w:endnote>
  <w:endnote w:type="continuationSeparator" w:id="0">
    <w:p w14:paraId="29985BC9" w14:textId="77777777" w:rsidR="00852E2C" w:rsidRDefault="00852E2C" w:rsidP="003A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86E7" w14:textId="74C58533" w:rsidR="00F96B5B" w:rsidRDefault="00000000" w:rsidP="00F96B5B">
    <w:pPr>
      <w:pStyle w:val="Footer"/>
      <w:jc w:val="right"/>
    </w:pPr>
    <w:sdt>
      <w:sdtPr>
        <w:id w:val="1430698811"/>
        <w:docPartObj>
          <w:docPartGallery w:val="Page Numbers (Bottom of Page)"/>
          <w:docPartUnique/>
        </w:docPartObj>
      </w:sdtPr>
      <w:sdtEndPr>
        <w:rPr>
          <w:noProof/>
          <w:sz w:val="20"/>
          <w:szCs w:val="20"/>
        </w:rPr>
      </w:sdtEndPr>
      <w:sdtContent>
        <w:r w:rsidR="00F96B5B">
          <w:t xml:space="preserve">                                                                                    </w:t>
        </w:r>
        <w:r w:rsidR="00F96B5B" w:rsidRPr="00647B76">
          <w:t xml:space="preserve">   </w:t>
        </w:r>
        <w:r w:rsidR="00F96B5B">
          <w:t xml:space="preserve">  </w:t>
        </w:r>
        <w:r w:rsidR="00F96B5B" w:rsidRPr="00647B76">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r w:rsidR="00F96B5B">
          <w:rPr>
            <w:noProof/>
            <w:sz w:val="20"/>
            <w:szCs w:val="20"/>
          </w:rPr>
          <w:t xml:space="preserve">             </w:t>
        </w:r>
        <w:r w:rsidR="00F96B5B" w:rsidRPr="00647B76">
          <w:rPr>
            <w:noProof/>
            <w:sz w:val="20"/>
            <w:szCs w:val="20"/>
          </w:rPr>
          <w:t xml:space="preserve">             </w:t>
        </w:r>
      </w:sdtContent>
    </w:sdt>
    <w:r w:rsidR="00F96B5B" w:rsidRPr="00F96B5B">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8F9E4" w14:textId="77777777" w:rsidR="00852E2C" w:rsidRDefault="00852E2C" w:rsidP="003A6860">
      <w:r>
        <w:separator/>
      </w:r>
    </w:p>
  </w:footnote>
  <w:footnote w:type="continuationSeparator" w:id="0">
    <w:p w14:paraId="4BB16079" w14:textId="77777777" w:rsidR="00852E2C" w:rsidRDefault="00852E2C" w:rsidP="003A6860">
      <w:r>
        <w:continuationSeparator/>
      </w:r>
    </w:p>
  </w:footnote>
  <w:footnote w:id="1">
    <w:p w14:paraId="5FDDE007" w14:textId="5DE85C56" w:rsidR="009B057B" w:rsidRPr="009B057B" w:rsidRDefault="00F96B5B">
      <w:pPr>
        <w:pStyle w:val="FootnoteText"/>
        <w:rPr>
          <w:rStyle w:val="IntenseEmphasis"/>
          <w:rFonts w:ascii="Times New Roman" w:hAnsi="Times New Roman" w:cs="Times New Roman"/>
          <w:i w:val="0"/>
          <w:iCs w:val="0"/>
          <w:color w:val="auto"/>
        </w:rPr>
      </w:pPr>
      <w:r w:rsidRPr="00636D08">
        <w:rPr>
          <w:rStyle w:val="FootnoteReference"/>
          <w:rFonts w:ascii="Times New Roman" w:hAnsi="Times New Roman" w:cs="Times New Roman"/>
        </w:rPr>
        <w:footnoteRef/>
      </w:r>
      <w:r w:rsidRPr="00636D08">
        <w:rPr>
          <w:rFonts w:ascii="Times New Roman" w:hAnsi="Times New Roman" w:cs="Times New Roman"/>
        </w:rPr>
        <w:t xml:space="preserve"> Presenting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883"/>
    </w:tblGrid>
    <w:tr w:rsidR="00FD15A4" w14:paraId="39AA6B0D" w14:textId="77777777" w:rsidTr="00FD15A4">
      <w:tc>
        <w:tcPr>
          <w:tcW w:w="1413" w:type="dxa"/>
        </w:tcPr>
        <w:p w14:paraId="1B0EB450" w14:textId="77777777" w:rsidR="00FD15A4" w:rsidRDefault="00FD15A4" w:rsidP="00FD15A4">
          <w:pPr>
            <w:rPr>
              <w:rFonts w:ascii="Times New Roman" w:hAnsi="Times New Roman" w:cs="Times New Roman"/>
              <w:sz w:val="22"/>
              <w:lang w:eastAsia="en-US"/>
            </w:rPr>
          </w:pPr>
          <w:r>
            <w:rPr>
              <w:noProof/>
            </w:rPr>
            <w:drawing>
              <wp:inline distT="0" distB="0" distL="0" distR="0" wp14:anchorId="59D9B287" wp14:editId="0FA2D8F6">
                <wp:extent cx="650123" cy="723567"/>
                <wp:effectExtent l="0" t="0" r="0" b="635"/>
                <wp:docPr id="1908166306" name="Picture 1" descr="A colorful cube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567774" name="Picture 1" descr="A colorful cube with letters&#10;&#10;Description automatically generated"/>
                        <pic:cNvPicPr/>
                      </pic:nvPicPr>
                      <pic:blipFill rotWithShape="1">
                        <a:blip r:embed="rId1">
                          <a:extLst>
                            <a:ext uri="{28A0092B-C50C-407E-A947-70E740481C1C}">
                              <a14:useLocalDpi xmlns:a14="http://schemas.microsoft.com/office/drawing/2010/main" val="0"/>
                            </a:ext>
                          </a:extLst>
                        </a:blip>
                        <a:srcRect l="14464" t="9248" r="14339" b="11511"/>
                        <a:stretch/>
                      </pic:blipFill>
                      <pic:spPr bwMode="auto">
                        <a:xfrm>
                          <a:off x="0" y="0"/>
                          <a:ext cx="651029" cy="724576"/>
                        </a:xfrm>
                        <a:prstGeom prst="rect">
                          <a:avLst/>
                        </a:prstGeom>
                        <a:ln>
                          <a:noFill/>
                        </a:ln>
                        <a:extLst>
                          <a:ext uri="{53640926-AAD7-44D8-BBD7-CCE9431645EC}">
                            <a14:shadowObscured xmlns:a14="http://schemas.microsoft.com/office/drawing/2010/main"/>
                          </a:ext>
                        </a:extLst>
                      </pic:spPr>
                    </pic:pic>
                  </a:graphicData>
                </a:graphic>
              </wp:inline>
            </w:drawing>
          </w:r>
        </w:p>
      </w:tc>
      <w:tc>
        <w:tcPr>
          <w:tcW w:w="6883" w:type="dxa"/>
        </w:tcPr>
        <w:p w14:paraId="1E28239A" w14:textId="77777777" w:rsidR="00FD15A4" w:rsidRDefault="00FD15A4" w:rsidP="00FD15A4">
          <w:pPr>
            <w:jc w:val="right"/>
            <w:rPr>
              <w:rFonts w:ascii="Times New Roman" w:hAnsi="Times New Roman" w:cs="Times New Roman"/>
              <w:sz w:val="22"/>
              <w:lang w:eastAsia="en-US"/>
            </w:rPr>
          </w:pPr>
        </w:p>
        <w:p w14:paraId="04EA89D0" w14:textId="5171F043" w:rsidR="00FD15A4" w:rsidRDefault="00FD15A4" w:rsidP="00FD15A4">
          <w:pPr>
            <w:jc w:val="right"/>
            <w:rPr>
              <w:rFonts w:ascii="Times New Roman" w:hAnsi="Times New Roman" w:cs="Times New Roman"/>
              <w:sz w:val="22"/>
              <w:lang w:eastAsia="en-US"/>
            </w:rPr>
          </w:pPr>
          <w:r w:rsidRPr="00FD15A4">
            <w:rPr>
              <w:rFonts w:ascii="Times New Roman" w:hAnsi="Times New Roman" w:cs="Times New Roman"/>
              <w:sz w:val="22"/>
              <w:lang w:eastAsia="en-US"/>
            </w:rPr>
            <w:t>MadeAI 202</w:t>
          </w:r>
          <w:r w:rsidR="00C2420A">
            <w:rPr>
              <w:rFonts w:ascii="Times New Roman" w:hAnsi="Times New Roman" w:cs="Times New Roman"/>
              <w:sz w:val="22"/>
              <w:lang w:eastAsia="en-US"/>
            </w:rPr>
            <w:t>5</w:t>
          </w:r>
          <w:r w:rsidRPr="00FD15A4">
            <w:rPr>
              <w:rFonts w:ascii="Times New Roman" w:hAnsi="Times New Roman" w:cs="Times New Roman"/>
              <w:sz w:val="22"/>
              <w:lang w:eastAsia="en-US"/>
            </w:rPr>
            <w:t xml:space="preserve"> – Modelling, Data Analytics and AI in Engineering</w:t>
          </w:r>
        </w:p>
        <w:p w14:paraId="34B5B340" w14:textId="7A22D919" w:rsidR="00FD15A4" w:rsidRDefault="00C2420A" w:rsidP="00FD15A4">
          <w:pPr>
            <w:jc w:val="right"/>
            <w:rPr>
              <w:rFonts w:ascii="Times New Roman" w:hAnsi="Times New Roman" w:cs="Times New Roman"/>
              <w:sz w:val="22"/>
              <w:lang w:eastAsia="en-US"/>
            </w:rPr>
          </w:pPr>
          <w:r>
            <w:rPr>
              <w:rFonts w:ascii="Times New Roman" w:hAnsi="Times New Roman" w:cs="Times New Roman"/>
              <w:sz w:val="22"/>
              <w:lang w:eastAsia="en-US"/>
            </w:rPr>
            <w:t>7</w:t>
          </w:r>
          <w:r w:rsidR="00FD15A4" w:rsidRPr="00FD15A4">
            <w:rPr>
              <w:rFonts w:ascii="Times New Roman" w:hAnsi="Times New Roman" w:cs="Times New Roman"/>
              <w:sz w:val="22"/>
              <w:lang w:eastAsia="en-US"/>
            </w:rPr>
            <w:t>–</w:t>
          </w:r>
          <w:r>
            <w:rPr>
              <w:rFonts w:ascii="Times New Roman" w:hAnsi="Times New Roman" w:cs="Times New Roman"/>
              <w:sz w:val="22"/>
              <w:lang w:eastAsia="en-US"/>
            </w:rPr>
            <w:t>11</w:t>
          </w:r>
          <w:r w:rsidR="00FD15A4" w:rsidRPr="00FD15A4">
            <w:rPr>
              <w:rFonts w:ascii="Times New Roman" w:hAnsi="Times New Roman" w:cs="Times New Roman"/>
              <w:sz w:val="22"/>
              <w:lang w:eastAsia="en-US"/>
            </w:rPr>
            <w:t xml:space="preserve"> July 202</w:t>
          </w:r>
          <w:r>
            <w:rPr>
              <w:rFonts w:ascii="Times New Roman" w:hAnsi="Times New Roman" w:cs="Times New Roman"/>
              <w:sz w:val="22"/>
              <w:lang w:eastAsia="en-US"/>
            </w:rPr>
            <w:t>5</w:t>
          </w:r>
          <w:r w:rsidR="00FD15A4" w:rsidRPr="00FD15A4">
            <w:rPr>
              <w:rFonts w:ascii="Times New Roman" w:hAnsi="Times New Roman" w:cs="Times New Roman"/>
              <w:sz w:val="22"/>
              <w:lang w:eastAsia="en-US"/>
            </w:rPr>
            <w:t>, Porto, Portugal</w:t>
          </w:r>
        </w:p>
      </w:tc>
    </w:tr>
  </w:tbl>
  <w:p w14:paraId="079B87ED" w14:textId="77777777" w:rsidR="00FD15A4" w:rsidRDefault="00FD15A4" w:rsidP="00FD15A4">
    <w:pPr>
      <w:pStyle w:val="Header"/>
      <w:bidi/>
      <w:jc w:val="left"/>
      <w:rPr>
        <w:rFonts w:ascii="Times New Roman" w:hAnsi="Times New Roman" w:cs="Times New Roman"/>
        <w:kern w:val="0"/>
        <w:sz w:val="21"/>
        <w:szCs w:val="21"/>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97129"/>
    <w:multiLevelType w:val="hybridMultilevel"/>
    <w:tmpl w:val="1EB8D3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589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numFmt w:val="lowerLette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43B"/>
    <w:rsid w:val="0007443B"/>
    <w:rsid w:val="00081665"/>
    <w:rsid w:val="002E6399"/>
    <w:rsid w:val="00314470"/>
    <w:rsid w:val="003A6860"/>
    <w:rsid w:val="003E58EB"/>
    <w:rsid w:val="004673C0"/>
    <w:rsid w:val="00477028"/>
    <w:rsid w:val="004C6D53"/>
    <w:rsid w:val="00564A36"/>
    <w:rsid w:val="005911EB"/>
    <w:rsid w:val="00636D08"/>
    <w:rsid w:val="00706345"/>
    <w:rsid w:val="00795783"/>
    <w:rsid w:val="00852E2C"/>
    <w:rsid w:val="0093109C"/>
    <w:rsid w:val="009B057B"/>
    <w:rsid w:val="00A84E29"/>
    <w:rsid w:val="00AB5CF8"/>
    <w:rsid w:val="00AC4192"/>
    <w:rsid w:val="00B469EB"/>
    <w:rsid w:val="00C2420A"/>
    <w:rsid w:val="00C338A8"/>
    <w:rsid w:val="00D45F87"/>
    <w:rsid w:val="00E206F8"/>
    <w:rsid w:val="00F346CE"/>
    <w:rsid w:val="00F61CE6"/>
    <w:rsid w:val="00F96B5B"/>
    <w:rsid w:val="00FD15A4"/>
    <w:rsid w:val="00FE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A8003"/>
  <w15:chartTrackingRefBased/>
  <w15:docId w15:val="{B5D39F07-4669-4A5E-9F41-E3F23933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2">
    <w:name w:val="heading 2"/>
    <w:basedOn w:val="Normal"/>
    <w:next w:val="Normal"/>
    <w:link w:val="Heading2Char"/>
    <w:uiPriority w:val="9"/>
    <w:unhideWhenUsed/>
    <w:qFormat/>
    <w:rsid w:val="00636D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860"/>
    <w:rPr>
      <w:color w:val="0563C1" w:themeColor="hyperlink"/>
      <w:u w:val="single"/>
    </w:rPr>
  </w:style>
  <w:style w:type="character" w:styleId="UnresolvedMention">
    <w:name w:val="Unresolved Mention"/>
    <w:basedOn w:val="DefaultParagraphFont"/>
    <w:uiPriority w:val="99"/>
    <w:semiHidden/>
    <w:unhideWhenUsed/>
    <w:rsid w:val="003A6860"/>
    <w:rPr>
      <w:color w:val="605E5C"/>
      <w:shd w:val="clear" w:color="auto" w:fill="E1DFDD"/>
    </w:rPr>
  </w:style>
  <w:style w:type="paragraph" w:styleId="Header">
    <w:name w:val="header"/>
    <w:basedOn w:val="Normal"/>
    <w:link w:val="HeaderChar"/>
    <w:uiPriority w:val="99"/>
    <w:unhideWhenUsed/>
    <w:rsid w:val="003A686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A6860"/>
    <w:rPr>
      <w:sz w:val="18"/>
      <w:szCs w:val="18"/>
    </w:rPr>
  </w:style>
  <w:style w:type="paragraph" w:styleId="Footer">
    <w:name w:val="footer"/>
    <w:basedOn w:val="Normal"/>
    <w:link w:val="FooterChar"/>
    <w:uiPriority w:val="99"/>
    <w:unhideWhenUsed/>
    <w:rsid w:val="003A68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A6860"/>
    <w:rPr>
      <w:sz w:val="18"/>
      <w:szCs w:val="18"/>
    </w:rPr>
  </w:style>
  <w:style w:type="paragraph" w:styleId="EndnoteText">
    <w:name w:val="endnote text"/>
    <w:basedOn w:val="Normal"/>
    <w:link w:val="EndnoteTextChar"/>
    <w:uiPriority w:val="99"/>
    <w:semiHidden/>
    <w:unhideWhenUsed/>
    <w:rsid w:val="00F96B5B"/>
    <w:rPr>
      <w:sz w:val="20"/>
      <w:szCs w:val="20"/>
    </w:rPr>
  </w:style>
  <w:style w:type="character" w:customStyle="1" w:styleId="EndnoteTextChar">
    <w:name w:val="Endnote Text Char"/>
    <w:basedOn w:val="DefaultParagraphFont"/>
    <w:link w:val="EndnoteText"/>
    <w:uiPriority w:val="99"/>
    <w:semiHidden/>
    <w:rsid w:val="00F96B5B"/>
    <w:rPr>
      <w:sz w:val="20"/>
      <w:szCs w:val="20"/>
    </w:rPr>
  </w:style>
  <w:style w:type="character" w:styleId="EndnoteReference">
    <w:name w:val="endnote reference"/>
    <w:basedOn w:val="DefaultParagraphFont"/>
    <w:uiPriority w:val="99"/>
    <w:semiHidden/>
    <w:unhideWhenUsed/>
    <w:rsid w:val="00F96B5B"/>
    <w:rPr>
      <w:vertAlign w:val="superscript"/>
    </w:rPr>
  </w:style>
  <w:style w:type="paragraph" w:styleId="FootnoteText">
    <w:name w:val="footnote text"/>
    <w:basedOn w:val="Normal"/>
    <w:link w:val="FootnoteTextChar"/>
    <w:uiPriority w:val="99"/>
    <w:semiHidden/>
    <w:unhideWhenUsed/>
    <w:rsid w:val="00F96B5B"/>
    <w:rPr>
      <w:sz w:val="20"/>
      <w:szCs w:val="20"/>
    </w:rPr>
  </w:style>
  <w:style w:type="character" w:customStyle="1" w:styleId="FootnoteTextChar">
    <w:name w:val="Footnote Text Char"/>
    <w:basedOn w:val="DefaultParagraphFont"/>
    <w:link w:val="FootnoteText"/>
    <w:uiPriority w:val="99"/>
    <w:semiHidden/>
    <w:rsid w:val="00F96B5B"/>
    <w:rPr>
      <w:sz w:val="20"/>
      <w:szCs w:val="20"/>
    </w:rPr>
  </w:style>
  <w:style w:type="character" w:styleId="FootnoteReference">
    <w:name w:val="footnote reference"/>
    <w:basedOn w:val="DefaultParagraphFont"/>
    <w:uiPriority w:val="99"/>
    <w:semiHidden/>
    <w:unhideWhenUsed/>
    <w:rsid w:val="00F96B5B"/>
    <w:rPr>
      <w:vertAlign w:val="superscript"/>
    </w:rPr>
  </w:style>
  <w:style w:type="paragraph" w:styleId="ListParagraph">
    <w:name w:val="List Paragraph"/>
    <w:basedOn w:val="Normal"/>
    <w:uiPriority w:val="34"/>
    <w:qFormat/>
    <w:rsid w:val="00636D08"/>
    <w:pPr>
      <w:ind w:left="720"/>
      <w:contextualSpacing/>
    </w:pPr>
  </w:style>
  <w:style w:type="character" w:customStyle="1" w:styleId="Heading2Char">
    <w:name w:val="Heading 2 Char"/>
    <w:basedOn w:val="DefaultParagraphFont"/>
    <w:link w:val="Heading2"/>
    <w:uiPriority w:val="9"/>
    <w:rsid w:val="00636D08"/>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9B057B"/>
    <w:rPr>
      <w:i/>
      <w:iCs/>
      <w:color w:val="4472C4" w:themeColor="accent1"/>
    </w:rPr>
  </w:style>
  <w:style w:type="table" w:styleId="TableGrid">
    <w:name w:val="Table Grid"/>
    <w:basedOn w:val="TableNormal"/>
    <w:uiPriority w:val="39"/>
    <w:rsid w:val="00FD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20407-CFA1-4EDE-8A90-76F12ABC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X. (2021547)</dc:creator>
  <cp:keywords/>
  <dc:description/>
  <cp:lastModifiedBy>Chenfeng Li</cp:lastModifiedBy>
  <cp:revision>18</cp:revision>
  <dcterms:created xsi:type="dcterms:W3CDTF">2023-05-23T08:38:00Z</dcterms:created>
  <dcterms:modified xsi:type="dcterms:W3CDTF">2024-11-16T07:02:00Z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4a9a3dbf-66f2-4834-a285-f038ca625526</vt:lpwstr>
  </property>
</Properties>
</file>